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C1" w:rsidRPr="00E32DC7" w:rsidRDefault="00E32DC7">
      <w:pPr>
        <w:pStyle w:val="GvdeMetni"/>
        <w:spacing w:before="3"/>
        <w:ind w:left="0" w:firstLine="0"/>
        <w:rPr>
          <w:b/>
        </w:rPr>
      </w:pPr>
      <w:r>
        <w:t xml:space="preserve">  </w:t>
      </w:r>
      <w:bookmarkStart w:id="0" w:name="_GoBack"/>
      <w:r w:rsidRPr="00E32DC7">
        <w:rPr>
          <w:b/>
        </w:rPr>
        <w:t>GETAT Klinik Araştırmaları Sigorta Kılavuzu</w:t>
      </w:r>
      <w:bookmarkEnd w:id="0"/>
    </w:p>
    <w:p w:rsidR="00E32DC7" w:rsidRPr="00023646" w:rsidRDefault="00E32DC7">
      <w:pPr>
        <w:pStyle w:val="GvdeMetni"/>
        <w:spacing w:before="3"/>
        <w:ind w:left="0" w:firstLine="0"/>
      </w:pPr>
      <w:r>
        <w:t xml:space="preserve">  Tarih: 5 Temmuz 2019 Versiyon 1.0</w:t>
      </w:r>
    </w:p>
    <w:p w:rsidR="004970C1" w:rsidRPr="00023646" w:rsidRDefault="00344799">
      <w:pPr>
        <w:pStyle w:val="Balk1"/>
        <w:numPr>
          <w:ilvl w:val="0"/>
          <w:numId w:val="2"/>
        </w:numPr>
        <w:tabs>
          <w:tab w:val="left" w:pos="682"/>
          <w:tab w:val="left" w:pos="683"/>
        </w:tabs>
        <w:spacing w:before="90"/>
        <w:ind w:hanging="566"/>
      </w:pPr>
      <w:r w:rsidRPr="00023646">
        <w:t>AMAÇ</w:t>
      </w:r>
    </w:p>
    <w:p w:rsidR="004970C1" w:rsidRPr="00023646" w:rsidRDefault="00344799">
      <w:pPr>
        <w:pStyle w:val="GvdeMetni"/>
        <w:ind w:left="116" w:right="116" w:firstLine="0"/>
        <w:jc w:val="both"/>
      </w:pPr>
      <w:r w:rsidRPr="00023646">
        <w:t>Bu kılavuz; iyi klinik uygulamaları ve klinik araştırmalar ile ilgili mevzuat hükümleri gereğince; klinik araştırmalara katılan hasta ve sağlıklı gönüllülerin, araştırmadan kaynaklanabilecek herhangi bir zarara karşı korunması için araştırmanın destekleyicisi tarafından sigorta teminatının sağlanmasına ilişkin usul ve esasları belirlemek amacıyla hazırlanmıştır.</w:t>
      </w:r>
    </w:p>
    <w:p w:rsidR="004970C1" w:rsidRPr="00023646" w:rsidRDefault="00344799">
      <w:pPr>
        <w:pStyle w:val="Balk1"/>
        <w:numPr>
          <w:ilvl w:val="0"/>
          <w:numId w:val="2"/>
        </w:numPr>
        <w:tabs>
          <w:tab w:val="left" w:pos="682"/>
          <w:tab w:val="left" w:pos="683"/>
        </w:tabs>
        <w:ind w:hanging="566"/>
      </w:pPr>
      <w:r w:rsidRPr="00023646">
        <w:t>GENEL</w:t>
      </w:r>
      <w:r w:rsidRPr="00023646">
        <w:rPr>
          <w:spacing w:val="-1"/>
        </w:rPr>
        <w:t xml:space="preserve"> </w:t>
      </w:r>
      <w:r w:rsidRPr="00023646">
        <w:t>ESASLAR</w:t>
      </w:r>
    </w:p>
    <w:p w:rsidR="004970C1" w:rsidRPr="00023646" w:rsidRDefault="00344799">
      <w:pPr>
        <w:pStyle w:val="ListeParagraf"/>
        <w:numPr>
          <w:ilvl w:val="1"/>
          <w:numId w:val="2"/>
        </w:numPr>
        <w:tabs>
          <w:tab w:val="left" w:pos="683"/>
        </w:tabs>
        <w:ind w:right="117" w:hanging="566"/>
        <w:jc w:val="both"/>
        <w:rPr>
          <w:sz w:val="24"/>
          <w:szCs w:val="24"/>
        </w:rPr>
      </w:pPr>
      <w:r w:rsidRPr="00023646">
        <w:rPr>
          <w:sz w:val="24"/>
          <w:szCs w:val="24"/>
        </w:rPr>
        <w:t>Klinik araştırmaya katılan gönüllülerin klinik araştırma sırasında kullanılan araştırma ürünlerinden ve araştırmada uygulanan işlemlerden dolayı oluşabilecek zarara maruz kalması veya ölmesi halinde sigorta teminatı verilir. Bu kapsamda klinik araştırmalara katılan hasta ve sağlıklı gönüllülerin, ilgili mevzuat gereğince araştırmanın destekleyicisi tarafından sigorta teminatı altına alındığının belgelenmesi</w:t>
      </w:r>
      <w:r w:rsidRPr="00023646">
        <w:rPr>
          <w:spacing w:val="-18"/>
          <w:sz w:val="24"/>
          <w:szCs w:val="24"/>
        </w:rPr>
        <w:t xml:space="preserve"> </w:t>
      </w:r>
      <w:r w:rsidRPr="00023646">
        <w:rPr>
          <w:sz w:val="24"/>
          <w:szCs w:val="24"/>
        </w:rPr>
        <w:t>gerekmektedir.</w:t>
      </w:r>
    </w:p>
    <w:p w:rsidR="004970C1" w:rsidRPr="00023646" w:rsidRDefault="00344799" w:rsidP="00023646">
      <w:pPr>
        <w:pStyle w:val="ListeParagraf"/>
        <w:numPr>
          <w:ilvl w:val="1"/>
          <w:numId w:val="2"/>
        </w:numPr>
        <w:tabs>
          <w:tab w:val="left" w:pos="683"/>
        </w:tabs>
        <w:ind w:right="115" w:hanging="566"/>
        <w:jc w:val="both"/>
        <w:rPr>
          <w:sz w:val="24"/>
          <w:szCs w:val="24"/>
        </w:rPr>
      </w:pPr>
      <w:r w:rsidRPr="00023646">
        <w:rPr>
          <w:sz w:val="24"/>
          <w:szCs w:val="24"/>
        </w:rPr>
        <w:t xml:space="preserve">Sigorta poliçesi, sigorta poliçesinin gerekçeli olarak sunulamadığı durumlarda ise sigorta poliçesinin onaylanmış sureti </w:t>
      </w:r>
      <w:r w:rsidRPr="00023646">
        <w:rPr>
          <w:spacing w:val="-3"/>
          <w:sz w:val="24"/>
          <w:szCs w:val="24"/>
        </w:rPr>
        <w:t xml:space="preserve">ya </w:t>
      </w:r>
      <w:r w:rsidRPr="00023646">
        <w:rPr>
          <w:sz w:val="24"/>
          <w:szCs w:val="24"/>
        </w:rPr>
        <w:t xml:space="preserve">da poliçedeki koşulları açıkça belirten ve poliçeye işaret eden sigorta sertifikaları da etik kurula ve </w:t>
      </w:r>
      <w:r w:rsidR="00023646" w:rsidRPr="00023646">
        <w:rPr>
          <w:sz w:val="24"/>
          <w:szCs w:val="24"/>
        </w:rPr>
        <w:t>Sağlık Hizmetleri Genel Müdürlüğüne</w:t>
      </w:r>
      <w:r w:rsidRPr="00023646">
        <w:rPr>
          <w:sz w:val="24"/>
          <w:szCs w:val="24"/>
        </w:rPr>
        <w:t xml:space="preserve"> sunulmalıdır. Bu kapsamda etik kurula ve </w:t>
      </w:r>
      <w:r w:rsidR="00023646" w:rsidRPr="00023646">
        <w:rPr>
          <w:sz w:val="24"/>
          <w:szCs w:val="24"/>
        </w:rPr>
        <w:t>Sağlık Hizmeti Genel Müdürlüğüne</w:t>
      </w:r>
      <w:r w:rsidRPr="00023646">
        <w:rPr>
          <w:sz w:val="24"/>
          <w:szCs w:val="24"/>
        </w:rPr>
        <w:t xml:space="preserve"> sunulacak sigorta poliçesi veya sigorta</w:t>
      </w:r>
      <w:r w:rsidRPr="00023646">
        <w:rPr>
          <w:spacing w:val="-5"/>
          <w:sz w:val="24"/>
          <w:szCs w:val="24"/>
        </w:rPr>
        <w:t xml:space="preserve"> </w:t>
      </w:r>
      <w:r w:rsidRPr="00023646">
        <w:rPr>
          <w:sz w:val="24"/>
          <w:szCs w:val="24"/>
        </w:rPr>
        <w:t>sertifikalarının;</w:t>
      </w:r>
    </w:p>
    <w:p w:rsidR="004970C1" w:rsidRPr="00023646" w:rsidRDefault="00344799" w:rsidP="00023646">
      <w:pPr>
        <w:pStyle w:val="ListeParagraf"/>
        <w:numPr>
          <w:ilvl w:val="2"/>
          <w:numId w:val="2"/>
        </w:numPr>
        <w:tabs>
          <w:tab w:val="left" w:pos="683"/>
        </w:tabs>
        <w:ind w:hanging="566"/>
        <w:jc w:val="both"/>
        <w:rPr>
          <w:sz w:val="24"/>
          <w:szCs w:val="24"/>
        </w:rPr>
      </w:pPr>
      <w:r w:rsidRPr="00023646">
        <w:rPr>
          <w:sz w:val="24"/>
          <w:szCs w:val="24"/>
        </w:rPr>
        <w:t>Sigortacının adı-soyadı, ticaret unvanı ve</w:t>
      </w:r>
      <w:r w:rsidRPr="00023646">
        <w:rPr>
          <w:spacing w:val="-1"/>
          <w:sz w:val="24"/>
          <w:szCs w:val="24"/>
        </w:rPr>
        <w:t xml:space="preserve"> </w:t>
      </w:r>
      <w:r w:rsidRPr="00023646">
        <w:rPr>
          <w:sz w:val="24"/>
          <w:szCs w:val="24"/>
        </w:rPr>
        <w:t>ikametgâhı,</w:t>
      </w:r>
    </w:p>
    <w:p w:rsidR="004970C1" w:rsidRPr="00023646" w:rsidRDefault="00344799" w:rsidP="00023646">
      <w:pPr>
        <w:pStyle w:val="ListeParagraf"/>
        <w:numPr>
          <w:ilvl w:val="2"/>
          <w:numId w:val="2"/>
        </w:numPr>
        <w:tabs>
          <w:tab w:val="left" w:pos="683"/>
        </w:tabs>
        <w:ind w:right="116" w:hanging="566"/>
        <w:jc w:val="both"/>
        <w:rPr>
          <w:sz w:val="24"/>
          <w:szCs w:val="24"/>
        </w:rPr>
      </w:pPr>
      <w:r w:rsidRPr="00023646">
        <w:rPr>
          <w:sz w:val="24"/>
          <w:szCs w:val="24"/>
        </w:rPr>
        <w:t>Sigorta ettirenin (destekleyici veya yasal temsilcisi) adı-soyadı veya ticaret unvanı ve ikametgâhı,</w:t>
      </w:r>
    </w:p>
    <w:p w:rsidR="004970C1" w:rsidRPr="00023646" w:rsidRDefault="00344799" w:rsidP="00023646">
      <w:pPr>
        <w:pStyle w:val="ListeParagraf"/>
        <w:numPr>
          <w:ilvl w:val="2"/>
          <w:numId w:val="2"/>
        </w:numPr>
        <w:tabs>
          <w:tab w:val="left" w:pos="683"/>
        </w:tabs>
        <w:ind w:right="117" w:hanging="566"/>
        <w:jc w:val="both"/>
        <w:rPr>
          <w:sz w:val="24"/>
          <w:szCs w:val="24"/>
        </w:rPr>
      </w:pPr>
      <w:r w:rsidRPr="00023646">
        <w:rPr>
          <w:sz w:val="24"/>
          <w:szCs w:val="24"/>
        </w:rPr>
        <w:t xml:space="preserve">Sigortalının (destekleyici veya yasal temsilcisi </w:t>
      </w:r>
      <w:r w:rsidRPr="00023646">
        <w:rPr>
          <w:spacing w:val="-3"/>
          <w:sz w:val="24"/>
          <w:szCs w:val="24"/>
        </w:rPr>
        <w:t xml:space="preserve">ya </w:t>
      </w:r>
      <w:r w:rsidRPr="00023646">
        <w:rPr>
          <w:sz w:val="24"/>
          <w:szCs w:val="24"/>
        </w:rPr>
        <w:t>da araştırma merkezi) adı-soyadı, ticaret unvanı ve</w:t>
      </w:r>
      <w:r w:rsidRPr="00023646">
        <w:rPr>
          <w:spacing w:val="-2"/>
          <w:sz w:val="24"/>
          <w:szCs w:val="24"/>
        </w:rPr>
        <w:t xml:space="preserve"> </w:t>
      </w:r>
      <w:r w:rsidRPr="00023646">
        <w:rPr>
          <w:sz w:val="24"/>
          <w:szCs w:val="24"/>
        </w:rPr>
        <w:t>ikametgâhı,</w:t>
      </w:r>
    </w:p>
    <w:p w:rsidR="004970C1" w:rsidRPr="00023646" w:rsidRDefault="00344799" w:rsidP="00023646">
      <w:pPr>
        <w:pStyle w:val="ListeParagraf"/>
        <w:numPr>
          <w:ilvl w:val="2"/>
          <w:numId w:val="2"/>
        </w:numPr>
        <w:tabs>
          <w:tab w:val="left" w:pos="683"/>
        </w:tabs>
        <w:ind w:hanging="566"/>
        <w:jc w:val="both"/>
        <w:rPr>
          <w:sz w:val="24"/>
          <w:szCs w:val="24"/>
        </w:rPr>
      </w:pPr>
      <w:r w:rsidRPr="00023646">
        <w:rPr>
          <w:sz w:val="24"/>
          <w:szCs w:val="24"/>
        </w:rPr>
        <w:t>Sigortanın konusu (yapılacak klinik araştırmanın; açık adı ve varsa, protokol</w:t>
      </w:r>
      <w:r w:rsidRPr="00023646">
        <w:rPr>
          <w:spacing w:val="-13"/>
          <w:sz w:val="24"/>
          <w:szCs w:val="24"/>
        </w:rPr>
        <w:t xml:space="preserve"> </w:t>
      </w:r>
      <w:r w:rsidRPr="00023646">
        <w:rPr>
          <w:sz w:val="24"/>
          <w:szCs w:val="24"/>
        </w:rPr>
        <w:t>numarası),</w:t>
      </w:r>
    </w:p>
    <w:p w:rsidR="004970C1" w:rsidRPr="00023646" w:rsidRDefault="00344799" w:rsidP="00023646">
      <w:pPr>
        <w:pStyle w:val="ListeParagraf"/>
        <w:numPr>
          <w:ilvl w:val="2"/>
          <w:numId w:val="2"/>
        </w:numPr>
        <w:tabs>
          <w:tab w:val="left" w:pos="683"/>
        </w:tabs>
        <w:ind w:right="123" w:hanging="566"/>
        <w:jc w:val="both"/>
        <w:rPr>
          <w:sz w:val="24"/>
          <w:szCs w:val="24"/>
        </w:rPr>
      </w:pPr>
      <w:r w:rsidRPr="00023646">
        <w:rPr>
          <w:sz w:val="24"/>
          <w:szCs w:val="24"/>
        </w:rPr>
        <w:t>Sigortanın türü (klinik deneyler sorumluluk poliçesi, üçüncü şahıs mali mesuliyet sigorta poliçesi</w:t>
      </w:r>
      <w:r w:rsidRPr="00023646">
        <w:rPr>
          <w:spacing w:val="-2"/>
          <w:sz w:val="24"/>
          <w:szCs w:val="24"/>
        </w:rPr>
        <w:t xml:space="preserve"> </w:t>
      </w:r>
      <w:r w:rsidRPr="00023646">
        <w:rPr>
          <w:sz w:val="24"/>
          <w:szCs w:val="24"/>
        </w:rPr>
        <w:t>gibi),</w:t>
      </w:r>
    </w:p>
    <w:p w:rsidR="004970C1" w:rsidRPr="00023646" w:rsidRDefault="00344799" w:rsidP="00023646">
      <w:pPr>
        <w:pStyle w:val="ListeParagraf"/>
        <w:numPr>
          <w:ilvl w:val="2"/>
          <w:numId w:val="2"/>
        </w:numPr>
        <w:tabs>
          <w:tab w:val="left" w:pos="683"/>
        </w:tabs>
        <w:ind w:right="113" w:hanging="566"/>
        <w:jc w:val="both"/>
        <w:rPr>
          <w:sz w:val="24"/>
          <w:szCs w:val="24"/>
        </w:rPr>
      </w:pPr>
      <w:r w:rsidRPr="00023646">
        <w:rPr>
          <w:sz w:val="24"/>
          <w:szCs w:val="24"/>
        </w:rPr>
        <w:t>Sigortacının üstüne aldığı rizikolarla (sigortanın hastalık, sakatlık ve ölüm dâhil kapsamı ve tedavi giderleri) bunların başlayacağı ve son bulacağı</w:t>
      </w:r>
      <w:r w:rsidRPr="00023646">
        <w:rPr>
          <w:spacing w:val="-2"/>
          <w:sz w:val="24"/>
          <w:szCs w:val="24"/>
        </w:rPr>
        <w:t xml:space="preserve"> </w:t>
      </w:r>
      <w:r w:rsidRPr="00023646">
        <w:rPr>
          <w:sz w:val="24"/>
          <w:szCs w:val="24"/>
        </w:rPr>
        <w:t>an,</w:t>
      </w:r>
    </w:p>
    <w:p w:rsidR="004970C1" w:rsidRPr="00023646" w:rsidRDefault="00344799" w:rsidP="00023646">
      <w:pPr>
        <w:pStyle w:val="ListeParagraf"/>
        <w:numPr>
          <w:ilvl w:val="2"/>
          <w:numId w:val="2"/>
        </w:numPr>
        <w:tabs>
          <w:tab w:val="left" w:pos="683"/>
        </w:tabs>
        <w:ind w:right="120" w:hanging="566"/>
        <w:jc w:val="both"/>
        <w:rPr>
          <w:sz w:val="24"/>
          <w:szCs w:val="24"/>
        </w:rPr>
      </w:pPr>
      <w:r w:rsidRPr="00023646">
        <w:rPr>
          <w:sz w:val="24"/>
          <w:szCs w:val="24"/>
        </w:rPr>
        <w:t>Sigorta bedeli (olay/kişi başına belirlenen sigorta tazminat limiti ile toplam sigorta tazminat</w:t>
      </w:r>
      <w:r w:rsidRPr="00023646">
        <w:rPr>
          <w:spacing w:val="-1"/>
          <w:sz w:val="24"/>
          <w:szCs w:val="24"/>
        </w:rPr>
        <w:t xml:space="preserve"> </w:t>
      </w:r>
      <w:r w:rsidRPr="00023646">
        <w:rPr>
          <w:sz w:val="24"/>
          <w:szCs w:val="24"/>
        </w:rPr>
        <w:t>limiti),</w:t>
      </w:r>
    </w:p>
    <w:p w:rsidR="004970C1" w:rsidRPr="00023646" w:rsidRDefault="00344799" w:rsidP="00023646">
      <w:pPr>
        <w:pStyle w:val="ListeParagraf"/>
        <w:numPr>
          <w:ilvl w:val="2"/>
          <w:numId w:val="2"/>
        </w:numPr>
        <w:tabs>
          <w:tab w:val="left" w:pos="683"/>
        </w:tabs>
        <w:ind w:hanging="566"/>
        <w:jc w:val="both"/>
        <w:rPr>
          <w:sz w:val="24"/>
          <w:szCs w:val="24"/>
        </w:rPr>
      </w:pPr>
      <w:r w:rsidRPr="00023646">
        <w:rPr>
          <w:sz w:val="24"/>
          <w:szCs w:val="24"/>
        </w:rPr>
        <w:t>Primin tutarı ile ödeme zamanı ve</w:t>
      </w:r>
      <w:r w:rsidRPr="00023646">
        <w:rPr>
          <w:spacing w:val="1"/>
          <w:sz w:val="24"/>
          <w:szCs w:val="24"/>
        </w:rPr>
        <w:t xml:space="preserve"> </w:t>
      </w:r>
      <w:r w:rsidRPr="00023646">
        <w:rPr>
          <w:sz w:val="24"/>
          <w:szCs w:val="24"/>
        </w:rPr>
        <w:t>yeri,</w:t>
      </w:r>
    </w:p>
    <w:p w:rsidR="004970C1" w:rsidRPr="00023646" w:rsidRDefault="00344799" w:rsidP="00023646">
      <w:pPr>
        <w:pStyle w:val="ListeParagraf"/>
        <w:numPr>
          <w:ilvl w:val="2"/>
          <w:numId w:val="2"/>
        </w:numPr>
        <w:tabs>
          <w:tab w:val="left" w:pos="683"/>
        </w:tabs>
        <w:ind w:right="116" w:hanging="566"/>
        <w:jc w:val="both"/>
        <w:rPr>
          <w:sz w:val="24"/>
          <w:szCs w:val="24"/>
        </w:rPr>
      </w:pPr>
      <w:r w:rsidRPr="00023646">
        <w:rPr>
          <w:sz w:val="24"/>
          <w:szCs w:val="24"/>
        </w:rPr>
        <w:t>Klinik araştırmaya alınacak gönüllü sayısı (ülkemizde alınması planlanan asgari gönüllü sayısı),</w:t>
      </w:r>
    </w:p>
    <w:p w:rsidR="004970C1" w:rsidRPr="00023646" w:rsidRDefault="00344799" w:rsidP="00023646">
      <w:pPr>
        <w:pStyle w:val="ListeParagraf"/>
        <w:numPr>
          <w:ilvl w:val="2"/>
          <w:numId w:val="2"/>
        </w:numPr>
        <w:tabs>
          <w:tab w:val="left" w:pos="825"/>
        </w:tabs>
        <w:ind w:right="121" w:hanging="566"/>
        <w:jc w:val="both"/>
        <w:rPr>
          <w:sz w:val="24"/>
          <w:szCs w:val="24"/>
        </w:rPr>
      </w:pPr>
      <w:r w:rsidRPr="00023646">
        <w:rPr>
          <w:sz w:val="24"/>
          <w:szCs w:val="24"/>
        </w:rPr>
        <w:t>Sigortacının üstüne aldığı rizikoların hakiki mahiyetlerinin tayine yarayacak bütün haller,</w:t>
      </w:r>
    </w:p>
    <w:p w:rsidR="004970C1" w:rsidRPr="00023646" w:rsidRDefault="00344799" w:rsidP="00023646">
      <w:pPr>
        <w:pStyle w:val="ListeParagraf"/>
        <w:numPr>
          <w:ilvl w:val="2"/>
          <w:numId w:val="2"/>
        </w:numPr>
        <w:tabs>
          <w:tab w:val="left" w:pos="825"/>
        </w:tabs>
        <w:ind w:right="122" w:hanging="566"/>
        <w:jc w:val="both"/>
        <w:rPr>
          <w:sz w:val="24"/>
          <w:szCs w:val="24"/>
        </w:rPr>
      </w:pPr>
      <w:r w:rsidRPr="00023646">
        <w:rPr>
          <w:sz w:val="24"/>
          <w:szCs w:val="24"/>
        </w:rPr>
        <w:t>Sigortanın süresi (sigorta yapılan süre asgari olarak araştırmanın başlangıcı ile bitiş süresini</w:t>
      </w:r>
      <w:r w:rsidRPr="00023646">
        <w:rPr>
          <w:spacing w:val="-1"/>
          <w:sz w:val="24"/>
          <w:szCs w:val="24"/>
        </w:rPr>
        <w:t xml:space="preserve"> </w:t>
      </w:r>
      <w:r w:rsidRPr="00023646">
        <w:rPr>
          <w:sz w:val="24"/>
          <w:szCs w:val="24"/>
        </w:rPr>
        <w:t>kapsamalıdır),</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Tanzim tarihi ve ıslak</w:t>
      </w:r>
      <w:r w:rsidRPr="00023646">
        <w:rPr>
          <w:spacing w:val="-2"/>
          <w:sz w:val="24"/>
          <w:szCs w:val="24"/>
        </w:rPr>
        <w:t xml:space="preserve"> </w:t>
      </w:r>
      <w:r w:rsidRPr="00023646">
        <w:rPr>
          <w:sz w:val="24"/>
          <w:szCs w:val="24"/>
        </w:rPr>
        <w:t>imza,</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Sigortanın hangi özel şartlara bağlı olarak</w:t>
      </w:r>
      <w:r w:rsidRPr="00023646">
        <w:rPr>
          <w:spacing w:val="-2"/>
          <w:sz w:val="24"/>
          <w:szCs w:val="24"/>
        </w:rPr>
        <w:t xml:space="preserve"> </w:t>
      </w:r>
      <w:r w:rsidRPr="00023646">
        <w:rPr>
          <w:sz w:val="24"/>
          <w:szCs w:val="24"/>
        </w:rPr>
        <w:t>verileceği,</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Varsa, sigorta poliçesinde yer alan</w:t>
      </w:r>
      <w:r w:rsidRPr="00023646">
        <w:rPr>
          <w:spacing w:val="-1"/>
          <w:sz w:val="24"/>
          <w:szCs w:val="24"/>
        </w:rPr>
        <w:t xml:space="preserve"> </w:t>
      </w:r>
      <w:r w:rsidRPr="00023646">
        <w:rPr>
          <w:sz w:val="24"/>
          <w:szCs w:val="24"/>
        </w:rPr>
        <w:t>istisnalar,</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Araştırma ürünüyle birlikte verilecek ek</w:t>
      </w:r>
      <w:r w:rsidRPr="00023646">
        <w:rPr>
          <w:spacing w:val="-3"/>
          <w:sz w:val="24"/>
          <w:szCs w:val="24"/>
        </w:rPr>
        <w:t xml:space="preserve"> </w:t>
      </w:r>
      <w:r w:rsidRPr="00023646">
        <w:rPr>
          <w:sz w:val="24"/>
          <w:szCs w:val="24"/>
        </w:rPr>
        <w:t>teminatlar,</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Sigortanın hangi ülkelerde geçerli</w:t>
      </w:r>
      <w:r w:rsidRPr="00023646">
        <w:rPr>
          <w:spacing w:val="-2"/>
          <w:sz w:val="24"/>
          <w:szCs w:val="24"/>
        </w:rPr>
        <w:t xml:space="preserve"> </w:t>
      </w:r>
      <w:r w:rsidRPr="00023646">
        <w:rPr>
          <w:sz w:val="24"/>
          <w:szCs w:val="24"/>
        </w:rPr>
        <w:t>olduğu,</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Sözleşme yabancılık unsuru taşıyorsa bununla ilgili</w:t>
      </w:r>
      <w:r w:rsidRPr="00023646">
        <w:rPr>
          <w:spacing w:val="-2"/>
          <w:sz w:val="24"/>
          <w:szCs w:val="24"/>
        </w:rPr>
        <w:t xml:space="preserve"> </w:t>
      </w:r>
      <w:r w:rsidRPr="00023646">
        <w:rPr>
          <w:sz w:val="24"/>
          <w:szCs w:val="24"/>
        </w:rPr>
        <w:t>düzenlemeler,</w:t>
      </w:r>
    </w:p>
    <w:p w:rsidR="004970C1" w:rsidRPr="00023646" w:rsidRDefault="00344799" w:rsidP="00023646">
      <w:pPr>
        <w:pStyle w:val="ListeParagraf"/>
        <w:numPr>
          <w:ilvl w:val="2"/>
          <w:numId w:val="2"/>
        </w:numPr>
        <w:tabs>
          <w:tab w:val="left" w:pos="825"/>
        </w:tabs>
        <w:ind w:left="824" w:hanging="708"/>
        <w:jc w:val="both"/>
        <w:rPr>
          <w:sz w:val="24"/>
          <w:szCs w:val="24"/>
        </w:rPr>
      </w:pPr>
      <w:r w:rsidRPr="00023646">
        <w:rPr>
          <w:sz w:val="24"/>
          <w:szCs w:val="24"/>
        </w:rPr>
        <w:t>Yapılan sigortaya ilişkin varsa muafiyet veya müşterek sigortaya ilişkin</w:t>
      </w:r>
      <w:r w:rsidRPr="00023646">
        <w:rPr>
          <w:spacing w:val="-13"/>
          <w:sz w:val="24"/>
          <w:szCs w:val="24"/>
        </w:rPr>
        <w:t xml:space="preserve"> </w:t>
      </w:r>
      <w:r w:rsidRPr="00023646">
        <w:rPr>
          <w:sz w:val="24"/>
          <w:szCs w:val="24"/>
        </w:rPr>
        <w:t>bilgiler,</w:t>
      </w:r>
    </w:p>
    <w:p w:rsidR="004970C1" w:rsidRPr="00A55961" w:rsidRDefault="00344799" w:rsidP="00A55961">
      <w:pPr>
        <w:pStyle w:val="ListeParagraf"/>
        <w:numPr>
          <w:ilvl w:val="2"/>
          <w:numId w:val="2"/>
        </w:numPr>
        <w:tabs>
          <w:tab w:val="left" w:pos="825"/>
        </w:tabs>
        <w:ind w:right="121" w:hanging="566"/>
        <w:jc w:val="both"/>
        <w:rPr>
          <w:sz w:val="24"/>
          <w:szCs w:val="24"/>
        </w:rPr>
      </w:pPr>
      <w:r w:rsidRPr="00023646">
        <w:rPr>
          <w:sz w:val="24"/>
          <w:szCs w:val="24"/>
        </w:rPr>
        <w:t>İlgili Bakanlıkça tasdik edilmiş ve rahat ve kolay okunabilir şekilde bastırılmış sigorta genel şartlarının yazılı</w:t>
      </w:r>
      <w:r w:rsidRPr="00023646">
        <w:rPr>
          <w:spacing w:val="3"/>
          <w:sz w:val="24"/>
          <w:szCs w:val="24"/>
        </w:rPr>
        <w:t xml:space="preserve"> </w:t>
      </w:r>
      <w:r w:rsidRPr="00023646">
        <w:rPr>
          <w:sz w:val="24"/>
          <w:szCs w:val="24"/>
        </w:rPr>
        <w:t>bulunması</w:t>
      </w:r>
      <w:r w:rsidR="00A55961">
        <w:rPr>
          <w:sz w:val="24"/>
          <w:szCs w:val="24"/>
        </w:rPr>
        <w:t xml:space="preserve"> </w:t>
      </w:r>
      <w:r w:rsidRPr="00023646">
        <w:t>hususlarını açıkça ihtiva etmesi gerekmektedir.</w:t>
      </w:r>
    </w:p>
    <w:p w:rsidR="004970C1" w:rsidRPr="00023646" w:rsidRDefault="00344799" w:rsidP="00023646">
      <w:pPr>
        <w:pStyle w:val="ListeParagraf"/>
        <w:numPr>
          <w:ilvl w:val="1"/>
          <w:numId w:val="1"/>
        </w:numPr>
        <w:tabs>
          <w:tab w:val="left" w:pos="682"/>
          <w:tab w:val="left" w:pos="683"/>
        </w:tabs>
        <w:ind w:right="121" w:hanging="566"/>
        <w:jc w:val="both"/>
        <w:rPr>
          <w:sz w:val="24"/>
          <w:szCs w:val="24"/>
        </w:rPr>
      </w:pPr>
      <w:r w:rsidRPr="00023646">
        <w:rPr>
          <w:sz w:val="24"/>
          <w:szCs w:val="24"/>
        </w:rPr>
        <w:t>Sigorta poliçesi ve sertifikalarında sigorta ettirenin ayrıca mesleki sorumluluk sigortası, hayat sigortası ve benzeri başka bir sigorta teminatı kapsamında bulunmaları halinde</w:t>
      </w:r>
      <w:r w:rsidRPr="00023646">
        <w:rPr>
          <w:spacing w:val="51"/>
          <w:sz w:val="24"/>
          <w:szCs w:val="24"/>
        </w:rPr>
        <w:t xml:space="preserve"> </w:t>
      </w:r>
      <w:r w:rsidRPr="00023646">
        <w:rPr>
          <w:sz w:val="24"/>
          <w:szCs w:val="24"/>
        </w:rPr>
        <w:t>bu</w:t>
      </w:r>
    </w:p>
    <w:p w:rsidR="004970C1" w:rsidRPr="00023646" w:rsidRDefault="004970C1">
      <w:pPr>
        <w:rPr>
          <w:sz w:val="24"/>
          <w:szCs w:val="24"/>
        </w:rPr>
        <w:sectPr w:rsidR="004970C1" w:rsidRPr="00023646">
          <w:headerReference w:type="default" r:id="rId7"/>
          <w:footerReference w:type="default" r:id="rId8"/>
          <w:type w:val="continuous"/>
          <w:pgSz w:w="11910" w:h="16840"/>
          <w:pgMar w:top="1860" w:right="1300" w:bottom="1200" w:left="1300" w:header="283" w:footer="1002" w:gutter="0"/>
          <w:pgNumType w:start="1"/>
          <w:cols w:space="708"/>
        </w:sectPr>
      </w:pPr>
    </w:p>
    <w:p w:rsidR="004970C1" w:rsidRPr="00023646" w:rsidRDefault="004970C1">
      <w:pPr>
        <w:pStyle w:val="GvdeMetni"/>
        <w:spacing w:before="9"/>
        <w:ind w:left="0" w:firstLine="0"/>
      </w:pPr>
    </w:p>
    <w:p w:rsidR="004970C1" w:rsidRPr="00023646" w:rsidRDefault="00A55961" w:rsidP="00A55961">
      <w:pPr>
        <w:pStyle w:val="GvdeMetni"/>
        <w:spacing w:before="90"/>
        <w:ind w:right="120"/>
        <w:jc w:val="both"/>
      </w:pPr>
      <w:r>
        <w:t xml:space="preserve">         </w:t>
      </w:r>
      <w:r w:rsidR="00344799" w:rsidRPr="00023646">
        <w:t>sigortalarının teminatının yeterli olacağına ve bu teminatın klinik araştırmadan kaynaklanan zararı tazmine yetmediği durumlarda klinik araştırma sigorta teminatının devreye gireceğine dair bir ibarenin bulunmaması gerekmektedir.</w:t>
      </w:r>
    </w:p>
    <w:p w:rsidR="004970C1" w:rsidRPr="00023646" w:rsidRDefault="00344799">
      <w:pPr>
        <w:pStyle w:val="ListeParagraf"/>
        <w:numPr>
          <w:ilvl w:val="1"/>
          <w:numId w:val="1"/>
        </w:numPr>
        <w:tabs>
          <w:tab w:val="left" w:pos="683"/>
        </w:tabs>
        <w:spacing w:before="1"/>
        <w:ind w:right="114" w:hanging="566"/>
        <w:jc w:val="both"/>
        <w:rPr>
          <w:sz w:val="24"/>
          <w:szCs w:val="24"/>
        </w:rPr>
      </w:pPr>
      <w:r w:rsidRPr="00023646">
        <w:rPr>
          <w:sz w:val="24"/>
          <w:szCs w:val="24"/>
        </w:rPr>
        <w:t>Klinik araştırma sigortaları; diğer sigorta teminatından bağımsız olarak ve klinik araştırmadan kaynaklanabilecek herhangi bir zarara karşı korunmayı teminat altına alacak şekilde</w:t>
      </w:r>
      <w:r w:rsidRPr="00023646">
        <w:rPr>
          <w:spacing w:val="-2"/>
          <w:sz w:val="24"/>
          <w:szCs w:val="24"/>
        </w:rPr>
        <w:t xml:space="preserve"> </w:t>
      </w:r>
      <w:r w:rsidRPr="00023646">
        <w:rPr>
          <w:sz w:val="24"/>
          <w:szCs w:val="24"/>
        </w:rPr>
        <w:t>düzenlenmelidir.</w:t>
      </w:r>
    </w:p>
    <w:p w:rsidR="004970C1" w:rsidRPr="00023646" w:rsidRDefault="00344799">
      <w:pPr>
        <w:pStyle w:val="ListeParagraf"/>
        <w:numPr>
          <w:ilvl w:val="1"/>
          <w:numId w:val="1"/>
        </w:numPr>
        <w:tabs>
          <w:tab w:val="left" w:pos="683"/>
        </w:tabs>
        <w:ind w:right="119" w:hanging="566"/>
        <w:jc w:val="both"/>
        <w:rPr>
          <w:sz w:val="24"/>
          <w:szCs w:val="24"/>
        </w:rPr>
      </w:pPr>
      <w:r w:rsidRPr="00023646">
        <w:rPr>
          <w:sz w:val="24"/>
          <w:szCs w:val="24"/>
        </w:rPr>
        <w:t>Yukarıdaki tüm hususları içeren sigorta poliçesi ya da sigorta sertifikalarının Türkiye'de yerleşik ve ilgili mevzuat gereğince, Türkiye’de faaliyet göstermek üzere ruhsatlandırılmış sigorta şirketleri tarafından verilmesi durumunda belgelerin Türkçe düzenlenmesi, sigortalı ve sigorta şirketinin yabancı olması durumunda ise Türkçe dışında bir dilde düzenlenen belgelerin aslı veya onaylı sureti ile birlikte Türkçe tercümesinin (noter veya yeminli tercümandan onaylı) sunulması</w:t>
      </w:r>
      <w:r w:rsidRPr="00023646">
        <w:rPr>
          <w:spacing w:val="-8"/>
          <w:sz w:val="24"/>
          <w:szCs w:val="24"/>
        </w:rPr>
        <w:t xml:space="preserve"> </w:t>
      </w:r>
      <w:r w:rsidRPr="00023646">
        <w:rPr>
          <w:sz w:val="24"/>
          <w:szCs w:val="24"/>
        </w:rPr>
        <w:t>gerekmektedir.</w:t>
      </w:r>
    </w:p>
    <w:p w:rsidR="004970C1" w:rsidRPr="00023646" w:rsidRDefault="00344799">
      <w:pPr>
        <w:pStyle w:val="ListeParagraf"/>
        <w:numPr>
          <w:ilvl w:val="1"/>
          <w:numId w:val="1"/>
        </w:numPr>
        <w:tabs>
          <w:tab w:val="left" w:pos="683"/>
        </w:tabs>
        <w:ind w:right="121" w:hanging="566"/>
        <w:jc w:val="both"/>
        <w:rPr>
          <w:sz w:val="24"/>
          <w:szCs w:val="24"/>
        </w:rPr>
      </w:pPr>
      <w:r w:rsidRPr="00023646">
        <w:rPr>
          <w:sz w:val="24"/>
          <w:szCs w:val="24"/>
        </w:rPr>
        <w:t xml:space="preserve">Türkiye’de yerleşik sigorta şirketlerinin düzenlediği sigorta belgelerinin kabulü, bu şirketlerin </w:t>
      </w:r>
      <w:r w:rsidR="00023646" w:rsidRPr="00023646">
        <w:rPr>
          <w:sz w:val="24"/>
          <w:szCs w:val="24"/>
        </w:rPr>
        <w:t>Hazine ve Maliye Bakanlığı</w:t>
      </w:r>
      <w:r w:rsidRPr="00023646">
        <w:rPr>
          <w:sz w:val="24"/>
          <w:szCs w:val="24"/>
        </w:rPr>
        <w:t xml:space="preserve"> tarafından ruhsatlandırılmış olması koşuluna</w:t>
      </w:r>
      <w:r w:rsidRPr="00023646">
        <w:rPr>
          <w:spacing w:val="-12"/>
          <w:sz w:val="24"/>
          <w:szCs w:val="24"/>
        </w:rPr>
        <w:t xml:space="preserve"> </w:t>
      </w:r>
      <w:r w:rsidRPr="00023646">
        <w:rPr>
          <w:sz w:val="24"/>
          <w:szCs w:val="24"/>
        </w:rPr>
        <w:t>bağlıdır.</w:t>
      </w:r>
    </w:p>
    <w:p w:rsidR="00023646" w:rsidRPr="00023646" w:rsidRDefault="00023646">
      <w:pPr>
        <w:pStyle w:val="ListeParagraf"/>
        <w:numPr>
          <w:ilvl w:val="1"/>
          <w:numId w:val="1"/>
        </w:numPr>
        <w:tabs>
          <w:tab w:val="left" w:pos="683"/>
        </w:tabs>
        <w:ind w:right="121" w:hanging="566"/>
        <w:jc w:val="both"/>
        <w:rPr>
          <w:sz w:val="24"/>
          <w:szCs w:val="24"/>
        </w:rPr>
      </w:pPr>
      <w:r w:rsidRPr="00023646">
        <w:rPr>
          <w:sz w:val="24"/>
          <w:szCs w:val="24"/>
        </w:rPr>
        <w:t xml:space="preserve">GETAT Klinik Araştırmaları Hakkında </w:t>
      </w:r>
      <w:r w:rsidR="00A55961" w:rsidRPr="00023646">
        <w:rPr>
          <w:sz w:val="24"/>
          <w:szCs w:val="24"/>
        </w:rPr>
        <w:t>Yönetmelik’in</w:t>
      </w:r>
      <w:r w:rsidRPr="00023646">
        <w:rPr>
          <w:sz w:val="24"/>
          <w:szCs w:val="24"/>
        </w:rPr>
        <w:t xml:space="preserve"> 29 uncu maddesinin 1 inci fıkrasında sigorta kapsamı dışında belirtilen hususlar sıralanmıştır. </w:t>
      </w:r>
    </w:p>
    <w:p w:rsidR="004970C1" w:rsidRPr="00023646" w:rsidRDefault="00344799">
      <w:pPr>
        <w:pStyle w:val="Balk1"/>
        <w:numPr>
          <w:ilvl w:val="0"/>
          <w:numId w:val="2"/>
        </w:numPr>
        <w:tabs>
          <w:tab w:val="left" w:pos="824"/>
          <w:tab w:val="left" w:pos="825"/>
        </w:tabs>
        <w:spacing w:before="3"/>
        <w:ind w:left="824" w:hanging="708"/>
      </w:pPr>
      <w:r w:rsidRPr="00023646">
        <w:t>YÜRÜRLÜK</w:t>
      </w:r>
    </w:p>
    <w:p w:rsidR="004970C1" w:rsidRPr="00023646" w:rsidRDefault="00344799">
      <w:pPr>
        <w:pStyle w:val="GvdeMetni"/>
        <w:spacing w:line="274" w:lineRule="exact"/>
        <w:ind w:left="116" w:firstLine="0"/>
      </w:pPr>
      <w:r w:rsidRPr="00023646">
        <w:t>Bu kılavuz onaylandığı tarihte yürürlüğe girer.</w:t>
      </w:r>
    </w:p>
    <w:sectPr w:rsidR="004970C1" w:rsidRPr="00023646">
      <w:pgSz w:w="11910" w:h="16840"/>
      <w:pgMar w:top="1860" w:right="1300" w:bottom="1200" w:left="1300" w:header="283"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07" w:rsidRDefault="00326E07">
      <w:r>
        <w:separator/>
      </w:r>
    </w:p>
  </w:endnote>
  <w:endnote w:type="continuationSeparator" w:id="0">
    <w:p w:rsidR="00326E07" w:rsidRDefault="0032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C1" w:rsidRDefault="00067998">
    <w:pPr>
      <w:pStyle w:val="GvdeMetni"/>
      <w:spacing w:line="14" w:lineRule="auto"/>
      <w:ind w:left="0" w:firstLine="0"/>
      <w:rPr>
        <w:sz w:val="20"/>
      </w:rPr>
    </w:pPr>
    <w:r>
      <w:rPr>
        <w:noProof/>
        <w:lang w:bidi="ar-SA"/>
      </w:rPr>
      <mc:AlternateContent>
        <mc:Choice Requires="wps">
          <w:drawing>
            <wp:anchor distT="0" distB="0" distL="114300" distR="114300" simplePos="0" relativeHeight="503313320" behindDoc="1" locked="0" layoutInCell="1" allowOverlap="1">
              <wp:simplePos x="0" y="0"/>
              <wp:positionH relativeFrom="page">
                <wp:posOffset>6565900</wp:posOffset>
              </wp:positionH>
              <wp:positionV relativeFrom="page">
                <wp:posOffset>9916160</wp:posOffset>
              </wp:positionV>
              <wp:extent cx="121920" cy="165735"/>
              <wp:effectExtent l="317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C1" w:rsidRDefault="00344799">
                          <w:pPr>
                            <w:spacing w:line="234" w:lineRule="exact"/>
                            <w:ind w:left="40"/>
                            <w:rPr>
                              <w:rFonts w:ascii="Trebuchet MS"/>
                            </w:rPr>
                          </w:pPr>
                          <w:r>
                            <w:fldChar w:fldCharType="begin"/>
                          </w:r>
                          <w:r>
                            <w:rPr>
                              <w:rFonts w:ascii="Trebuchet MS"/>
                              <w:w w:val="97"/>
                            </w:rPr>
                            <w:instrText xml:space="preserve"> PAGE </w:instrText>
                          </w:r>
                          <w:r>
                            <w:fldChar w:fldCharType="separate"/>
                          </w:r>
                          <w:r w:rsidR="00E32DC7">
                            <w:rPr>
                              <w:rFonts w:ascii="Trebuchet MS"/>
                              <w:noProof/>
                              <w:w w:val="9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7pt;margin-top:780.8pt;width:9.6pt;height:13.0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yzrgIAAK8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" filled="f" stroked="f">
              <v:textbox inset="0,0,0,0">
                <w:txbxContent>
                  <w:p w:rsidR="004970C1" w:rsidRDefault="00344799">
                    <w:pPr>
                      <w:spacing w:line="234" w:lineRule="exact"/>
                      <w:ind w:left="40"/>
                      <w:rPr>
                        <w:rFonts w:ascii="Trebuchet MS"/>
                      </w:rPr>
                    </w:pPr>
                    <w:r>
                      <w:fldChar w:fldCharType="begin"/>
                    </w:r>
                    <w:r>
                      <w:rPr>
                        <w:rFonts w:ascii="Trebuchet MS"/>
                        <w:w w:val="97"/>
                      </w:rPr>
                      <w:instrText xml:space="preserve"> PAGE </w:instrText>
                    </w:r>
                    <w:r>
                      <w:fldChar w:fldCharType="separate"/>
                    </w:r>
                    <w:r w:rsidR="00E32DC7">
                      <w:rPr>
                        <w:rFonts w:ascii="Trebuchet MS"/>
                        <w:noProof/>
                        <w:w w:val="97"/>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07" w:rsidRDefault="00326E07">
      <w:r>
        <w:separator/>
      </w:r>
    </w:p>
  </w:footnote>
  <w:footnote w:type="continuationSeparator" w:id="0">
    <w:p w:rsidR="00326E07" w:rsidRDefault="00326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C1" w:rsidRDefault="00067998">
    <w:pPr>
      <w:pStyle w:val="GvdeMetni"/>
      <w:spacing w:line="14" w:lineRule="auto"/>
      <w:ind w:left="0" w:firstLine="0"/>
      <w:rPr>
        <w:sz w:val="20"/>
      </w:rPr>
    </w:pPr>
    <w:r>
      <w:rPr>
        <w:noProof/>
        <w:lang w:bidi="ar-SA"/>
      </w:rPr>
      <mc:AlternateContent>
        <mc:Choice Requires="wpg">
          <w:drawing>
            <wp:anchor distT="0" distB="0" distL="114300" distR="114300" simplePos="0" relativeHeight="503313248" behindDoc="1" locked="0" layoutInCell="1" allowOverlap="1">
              <wp:simplePos x="0" y="0"/>
              <wp:positionH relativeFrom="page">
                <wp:posOffset>890270</wp:posOffset>
              </wp:positionH>
              <wp:positionV relativeFrom="page">
                <wp:posOffset>179705</wp:posOffset>
              </wp:positionV>
              <wp:extent cx="5844540" cy="1004570"/>
              <wp:effectExtent l="13970" t="8255" r="8890" b="635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1004570"/>
                        <a:chOff x="1402" y="283"/>
                        <a:chExt cx="9204" cy="1582"/>
                      </a:xfrm>
                    </wpg:grpSpPr>
                    <wps:wsp>
                      <wps:cNvPr id="10" name="Line 7"/>
                      <wps:cNvCnPr>
                        <a:cxnSpLocks noChangeShapeType="1"/>
                      </wps:cNvCnPr>
                      <wps:spPr bwMode="auto">
                        <a:xfrm>
                          <a:off x="1402" y="1860"/>
                          <a:ext cx="76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9074" y="283"/>
                          <a:ext cx="0" cy="15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9079" y="1860"/>
                          <a:ext cx="1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E99970" id="Group 4" o:spid="_x0000_s1026" style="position:absolute;margin-left:70.1pt;margin-top:14.15pt;width:460.2pt;height:79.1pt;z-index:-3232;mso-position-horizontal-relative:page;mso-position-vertical-relative:page" coordorigin="1402,283" coordsize="9204,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">
              <v:line id="Line 7" o:spid="_x0000_s1027" style="position:absolute;visibility:visible;mso-wrap-style:square" from="1402,1860" to="9069,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6" o:spid="_x0000_s1028" style="position:absolute;visibility:visible;mso-wrap-style:square" from="9074,283" to="9074,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5" o:spid="_x0000_s1029" style="position:absolute;visibility:visible;mso-wrap-style:square" from="9079,1860" to="10605,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anchorx="page" anchory="page"/>
            </v:group>
          </w:pict>
        </mc:Fallback>
      </mc:AlternateContent>
    </w:r>
    <w:r>
      <w:rPr>
        <w:noProof/>
        <w:lang w:bidi="ar-SA"/>
      </w:rPr>
      <mc:AlternateContent>
        <mc:Choice Requires="wps">
          <w:drawing>
            <wp:anchor distT="0" distB="0" distL="114300" distR="114300" simplePos="0" relativeHeight="503313272" behindDoc="1" locked="0" layoutInCell="1" allowOverlap="1">
              <wp:simplePos x="0" y="0"/>
              <wp:positionH relativeFrom="page">
                <wp:posOffset>1285875</wp:posOffset>
              </wp:positionH>
              <wp:positionV relativeFrom="page">
                <wp:posOffset>215900</wp:posOffset>
              </wp:positionV>
              <wp:extent cx="4086225" cy="39687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C1" w:rsidRDefault="00067998" w:rsidP="00067998">
                          <w:pPr>
                            <w:pStyle w:val="GvdeMetni"/>
                            <w:spacing w:before="10" w:line="278" w:lineRule="auto"/>
                            <w:ind w:left="142" w:right="-4" w:hanging="123"/>
                            <w:jc w:val="center"/>
                          </w:pPr>
                          <w:r>
                            <w:t>GETA</w:t>
                          </w:r>
                          <w:r w:rsidR="00023646">
                            <w:t>T</w:t>
                          </w:r>
                          <w:r>
                            <w:t xml:space="preserve"> </w:t>
                          </w:r>
                          <w:r w:rsidR="00344799">
                            <w:t>KLİNİK ARAŞTIRMALAR</w:t>
                          </w:r>
                          <w:r>
                            <w:t>IN</w:t>
                          </w:r>
                          <w:r w:rsidR="00344799">
                            <w:t>DA YAPILACAK OLAN SİGORTA TEMİNATINA İLİŞKİN KILAVUZ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01.25pt;margin-top:17pt;width:321.75pt;height:31.25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hdqwIAAKk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" filled="f" stroked="f">
              <v:textbox inset="0,0,0,0">
                <w:txbxContent>
                  <w:p w:rsidR="004970C1" w:rsidRDefault="00067998" w:rsidP="00067998">
                    <w:pPr>
                      <w:pStyle w:val="GvdeMetni"/>
                      <w:spacing w:before="10" w:line="278" w:lineRule="auto"/>
                      <w:ind w:left="142" w:right="-4" w:hanging="123"/>
                      <w:jc w:val="center"/>
                    </w:pPr>
                    <w:r>
                      <w:t>GETA</w:t>
                    </w:r>
                    <w:r w:rsidR="00023646">
                      <w:t>T</w:t>
                    </w:r>
                    <w:bookmarkStart w:id="1" w:name="_GoBack"/>
                    <w:bookmarkEnd w:id="1"/>
                    <w:r>
                      <w:t xml:space="preserve"> </w:t>
                    </w:r>
                    <w:r w:rsidR="00344799">
                      <w:t>KLİNİK ARAŞTIRMALAR</w:t>
                    </w:r>
                    <w:r>
                      <w:t>IN</w:t>
                    </w:r>
                    <w:r w:rsidR="00344799">
                      <w:t>DA YAPILACAK OLAN SİGORTA TEMİNATINA İLİŞKİN KILAVUZ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3339"/>
    <w:multiLevelType w:val="multilevel"/>
    <w:tmpl w:val="BB16B01E"/>
    <w:lvl w:ilvl="0">
      <w:start w:val="2"/>
      <w:numFmt w:val="decimal"/>
      <w:lvlText w:val="%1"/>
      <w:lvlJc w:val="left"/>
      <w:pPr>
        <w:ind w:left="682" w:hanging="567"/>
        <w:jc w:val="left"/>
      </w:pPr>
      <w:rPr>
        <w:rFonts w:hint="default"/>
        <w:lang w:val="tr-TR" w:eastAsia="tr-TR" w:bidi="tr-TR"/>
      </w:rPr>
    </w:lvl>
    <w:lvl w:ilvl="1">
      <w:start w:val="3"/>
      <w:numFmt w:val="decimal"/>
      <w:lvlText w:val="%1.%2."/>
      <w:lvlJc w:val="left"/>
      <w:pPr>
        <w:ind w:left="682" w:hanging="567"/>
        <w:jc w:val="left"/>
      </w:pPr>
      <w:rPr>
        <w:rFonts w:ascii="Times New Roman" w:eastAsia="Times New Roman" w:hAnsi="Times New Roman" w:cs="Times New Roman" w:hint="default"/>
        <w:b/>
        <w:bCs/>
        <w:spacing w:val="-5"/>
        <w:w w:val="99"/>
        <w:sz w:val="24"/>
        <w:szCs w:val="24"/>
        <w:lang w:val="tr-TR" w:eastAsia="tr-TR" w:bidi="tr-TR"/>
      </w:rPr>
    </w:lvl>
    <w:lvl w:ilvl="2">
      <w:numFmt w:val="bullet"/>
      <w:lvlText w:val="•"/>
      <w:lvlJc w:val="left"/>
      <w:pPr>
        <w:ind w:left="2405" w:hanging="567"/>
      </w:pPr>
      <w:rPr>
        <w:rFonts w:hint="default"/>
        <w:lang w:val="tr-TR" w:eastAsia="tr-TR" w:bidi="tr-TR"/>
      </w:rPr>
    </w:lvl>
    <w:lvl w:ilvl="3">
      <w:numFmt w:val="bullet"/>
      <w:lvlText w:val="•"/>
      <w:lvlJc w:val="left"/>
      <w:pPr>
        <w:ind w:left="3267" w:hanging="567"/>
      </w:pPr>
      <w:rPr>
        <w:rFonts w:hint="default"/>
        <w:lang w:val="tr-TR" w:eastAsia="tr-TR" w:bidi="tr-TR"/>
      </w:rPr>
    </w:lvl>
    <w:lvl w:ilvl="4">
      <w:numFmt w:val="bullet"/>
      <w:lvlText w:val="•"/>
      <w:lvlJc w:val="left"/>
      <w:pPr>
        <w:ind w:left="4130" w:hanging="567"/>
      </w:pPr>
      <w:rPr>
        <w:rFonts w:hint="default"/>
        <w:lang w:val="tr-TR" w:eastAsia="tr-TR" w:bidi="tr-TR"/>
      </w:rPr>
    </w:lvl>
    <w:lvl w:ilvl="5">
      <w:numFmt w:val="bullet"/>
      <w:lvlText w:val="•"/>
      <w:lvlJc w:val="left"/>
      <w:pPr>
        <w:ind w:left="4993" w:hanging="567"/>
      </w:pPr>
      <w:rPr>
        <w:rFonts w:hint="default"/>
        <w:lang w:val="tr-TR" w:eastAsia="tr-TR" w:bidi="tr-TR"/>
      </w:rPr>
    </w:lvl>
    <w:lvl w:ilvl="6">
      <w:numFmt w:val="bullet"/>
      <w:lvlText w:val="•"/>
      <w:lvlJc w:val="left"/>
      <w:pPr>
        <w:ind w:left="5855" w:hanging="567"/>
      </w:pPr>
      <w:rPr>
        <w:rFonts w:hint="default"/>
        <w:lang w:val="tr-TR" w:eastAsia="tr-TR" w:bidi="tr-TR"/>
      </w:rPr>
    </w:lvl>
    <w:lvl w:ilvl="7">
      <w:numFmt w:val="bullet"/>
      <w:lvlText w:val="•"/>
      <w:lvlJc w:val="left"/>
      <w:pPr>
        <w:ind w:left="6718" w:hanging="567"/>
      </w:pPr>
      <w:rPr>
        <w:rFonts w:hint="default"/>
        <w:lang w:val="tr-TR" w:eastAsia="tr-TR" w:bidi="tr-TR"/>
      </w:rPr>
    </w:lvl>
    <w:lvl w:ilvl="8">
      <w:numFmt w:val="bullet"/>
      <w:lvlText w:val="•"/>
      <w:lvlJc w:val="left"/>
      <w:pPr>
        <w:ind w:left="7581" w:hanging="567"/>
      </w:pPr>
      <w:rPr>
        <w:rFonts w:hint="default"/>
        <w:lang w:val="tr-TR" w:eastAsia="tr-TR" w:bidi="tr-TR"/>
      </w:rPr>
    </w:lvl>
  </w:abstractNum>
  <w:abstractNum w:abstractNumId="1" w15:restartNumberingAfterBreak="0">
    <w:nsid w:val="69967FA5"/>
    <w:multiLevelType w:val="multilevel"/>
    <w:tmpl w:val="E380568C"/>
    <w:lvl w:ilvl="0">
      <w:start w:val="1"/>
      <w:numFmt w:val="decimal"/>
      <w:lvlText w:val="%1."/>
      <w:lvlJc w:val="left"/>
      <w:pPr>
        <w:ind w:left="682" w:hanging="567"/>
        <w:jc w:val="left"/>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682" w:hanging="567"/>
        <w:jc w:val="left"/>
      </w:pPr>
      <w:rPr>
        <w:rFonts w:ascii="Times New Roman" w:eastAsia="Times New Roman" w:hAnsi="Times New Roman" w:cs="Times New Roman" w:hint="default"/>
        <w:b/>
        <w:bCs/>
        <w:spacing w:val="-23"/>
        <w:w w:val="100"/>
        <w:sz w:val="24"/>
        <w:szCs w:val="24"/>
        <w:lang w:val="tr-TR" w:eastAsia="tr-TR" w:bidi="tr-TR"/>
      </w:rPr>
    </w:lvl>
    <w:lvl w:ilvl="2">
      <w:start w:val="1"/>
      <w:numFmt w:val="decimal"/>
      <w:lvlText w:val="%1.%2.%3."/>
      <w:lvlJc w:val="left"/>
      <w:pPr>
        <w:ind w:left="682" w:hanging="567"/>
        <w:jc w:val="left"/>
      </w:pPr>
      <w:rPr>
        <w:rFonts w:ascii="Times New Roman" w:eastAsia="Times New Roman" w:hAnsi="Times New Roman" w:cs="Times New Roman" w:hint="default"/>
        <w:b/>
        <w:bCs/>
        <w:w w:val="100"/>
        <w:sz w:val="24"/>
        <w:szCs w:val="24"/>
        <w:lang w:val="tr-TR" w:eastAsia="tr-TR" w:bidi="tr-TR"/>
      </w:rPr>
    </w:lvl>
    <w:lvl w:ilvl="3">
      <w:numFmt w:val="bullet"/>
      <w:lvlText w:val="•"/>
      <w:lvlJc w:val="left"/>
      <w:pPr>
        <w:ind w:left="3267" w:hanging="567"/>
      </w:pPr>
      <w:rPr>
        <w:rFonts w:hint="default"/>
        <w:lang w:val="tr-TR" w:eastAsia="tr-TR" w:bidi="tr-TR"/>
      </w:rPr>
    </w:lvl>
    <w:lvl w:ilvl="4">
      <w:numFmt w:val="bullet"/>
      <w:lvlText w:val="•"/>
      <w:lvlJc w:val="left"/>
      <w:pPr>
        <w:ind w:left="4130" w:hanging="567"/>
      </w:pPr>
      <w:rPr>
        <w:rFonts w:hint="default"/>
        <w:lang w:val="tr-TR" w:eastAsia="tr-TR" w:bidi="tr-TR"/>
      </w:rPr>
    </w:lvl>
    <w:lvl w:ilvl="5">
      <w:numFmt w:val="bullet"/>
      <w:lvlText w:val="•"/>
      <w:lvlJc w:val="left"/>
      <w:pPr>
        <w:ind w:left="4993" w:hanging="567"/>
      </w:pPr>
      <w:rPr>
        <w:rFonts w:hint="default"/>
        <w:lang w:val="tr-TR" w:eastAsia="tr-TR" w:bidi="tr-TR"/>
      </w:rPr>
    </w:lvl>
    <w:lvl w:ilvl="6">
      <w:numFmt w:val="bullet"/>
      <w:lvlText w:val="•"/>
      <w:lvlJc w:val="left"/>
      <w:pPr>
        <w:ind w:left="5855" w:hanging="567"/>
      </w:pPr>
      <w:rPr>
        <w:rFonts w:hint="default"/>
        <w:lang w:val="tr-TR" w:eastAsia="tr-TR" w:bidi="tr-TR"/>
      </w:rPr>
    </w:lvl>
    <w:lvl w:ilvl="7">
      <w:numFmt w:val="bullet"/>
      <w:lvlText w:val="•"/>
      <w:lvlJc w:val="left"/>
      <w:pPr>
        <w:ind w:left="6718" w:hanging="567"/>
      </w:pPr>
      <w:rPr>
        <w:rFonts w:hint="default"/>
        <w:lang w:val="tr-TR" w:eastAsia="tr-TR" w:bidi="tr-TR"/>
      </w:rPr>
    </w:lvl>
    <w:lvl w:ilvl="8">
      <w:numFmt w:val="bullet"/>
      <w:lvlText w:val="•"/>
      <w:lvlJc w:val="left"/>
      <w:pPr>
        <w:ind w:left="7581" w:hanging="567"/>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C1"/>
    <w:rsid w:val="00023646"/>
    <w:rsid w:val="00067998"/>
    <w:rsid w:val="002C1C0B"/>
    <w:rsid w:val="00326E07"/>
    <w:rsid w:val="00344799"/>
    <w:rsid w:val="004970C1"/>
    <w:rsid w:val="00627EA4"/>
    <w:rsid w:val="006D0716"/>
    <w:rsid w:val="00A55961"/>
    <w:rsid w:val="00B26322"/>
    <w:rsid w:val="00E32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6FAB"/>
  <w15:docId w15:val="{64300C50-BE63-45E6-9DA5-D538492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2" w:line="274" w:lineRule="exact"/>
      <w:ind w:left="682" w:hanging="70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82" w:hanging="566"/>
    </w:pPr>
    <w:rPr>
      <w:sz w:val="24"/>
      <w:szCs w:val="24"/>
    </w:rPr>
  </w:style>
  <w:style w:type="paragraph" w:styleId="ListeParagraf">
    <w:name w:val="List Paragraph"/>
    <w:basedOn w:val="Normal"/>
    <w:uiPriority w:val="1"/>
    <w:qFormat/>
    <w:pPr>
      <w:ind w:left="682" w:hanging="56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67998"/>
    <w:pPr>
      <w:tabs>
        <w:tab w:val="center" w:pos="4536"/>
        <w:tab w:val="right" w:pos="9072"/>
      </w:tabs>
    </w:pPr>
  </w:style>
  <w:style w:type="character" w:customStyle="1" w:styleId="stBilgiChar">
    <w:name w:val="Üst Bilgi Char"/>
    <w:basedOn w:val="VarsaylanParagrafYazTipi"/>
    <w:link w:val="stBilgi"/>
    <w:uiPriority w:val="99"/>
    <w:rsid w:val="00067998"/>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67998"/>
    <w:pPr>
      <w:tabs>
        <w:tab w:val="center" w:pos="4536"/>
        <w:tab w:val="right" w:pos="9072"/>
      </w:tabs>
    </w:pPr>
  </w:style>
  <w:style w:type="character" w:customStyle="1" w:styleId="AltBilgiChar">
    <w:name w:val="Alt Bilgi Char"/>
    <w:basedOn w:val="VarsaylanParagrafYazTipi"/>
    <w:link w:val="AltBilgi"/>
    <w:uiPriority w:val="99"/>
    <w:rsid w:val="00067998"/>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8712F0955A854F82681A37A589CAC8" ma:contentTypeVersion="1" ma:contentTypeDescription="Yeni belge oluşturun." ma:contentTypeScope="" ma:versionID="47080749b3bb9964f61bd2e6a55d0f8c">
  <xsd:schema xmlns:xsd="http://www.w3.org/2001/XMLSchema" xmlns:xs="http://www.w3.org/2001/XMLSchema" xmlns:p="http://schemas.microsoft.com/office/2006/metadata/properties" xmlns:ns1="http://schemas.microsoft.com/sharepoint/v3" xmlns:ns2="13dbcf05-ea33-4c3c-9383-3c4d054296f2" targetNamespace="http://schemas.microsoft.com/office/2006/metadata/properties" ma:root="true" ma:fieldsID="62cb889ef55b6120d17372c4dbadf654" ns1:_="" ns2:_="">
    <xsd:import namespace="http://schemas.microsoft.com/sharepoint/v3"/>
    <xsd:import namespace="13dbcf05-ea33-4c3c-9383-3c4d054296f2"/>
    <xsd:element name="properties">
      <xsd:complexType>
        <xsd:sequence>
          <xsd:element name="documentManagement">
            <xsd:complexType>
              <xsd:all>
                <xsd:element ref="ns2: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10"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8"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SiraNo xmlns="13dbcf05-ea33-4c3c-9383-3c4d054296f2" xsi:nil="true"/>
    <PublishingStartDate xmlns="http://schemas.microsoft.com/sharepoint/v3" xsi:nil="true"/>
  </documentManagement>
</p:properties>
</file>

<file path=customXml/itemProps1.xml><?xml version="1.0" encoding="utf-8"?>
<ds:datastoreItem xmlns:ds="http://schemas.openxmlformats.org/officeDocument/2006/customXml" ds:itemID="{D9882459-B191-4F08-B032-A877F9DBF534}"/>
</file>

<file path=customXml/itemProps2.xml><?xml version="1.0" encoding="utf-8"?>
<ds:datastoreItem xmlns:ds="http://schemas.openxmlformats.org/officeDocument/2006/customXml" ds:itemID="{0F24B414-590D-4A9F-88B4-E74151A14361}"/>
</file>

<file path=customXml/itemProps3.xml><?xml version="1.0" encoding="utf-8"?>
<ds:datastoreItem xmlns:ds="http://schemas.openxmlformats.org/officeDocument/2006/customXml" ds:itemID="{9F4F7A28-171A-477E-BD98-9D537E2081AE}"/>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3746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KLİNİK ARAŞTIRMALARDA YAPILACAK OLAN SİGORTA TEMİNATINA İLİŞKİN KILAVUZ</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ARAŞTIRMALARDA YAPILACAK OLAN SİGORTA TEMİNATINA İLİŞKİN KILAVUZ</dc:title>
  <dc:creator>acer</dc:creator>
  <cp:lastModifiedBy>CİHAT ÇELEBİ</cp:lastModifiedBy>
  <cp:revision>10</cp:revision>
  <dcterms:created xsi:type="dcterms:W3CDTF">2019-03-11T14:39:00Z</dcterms:created>
  <dcterms:modified xsi:type="dcterms:W3CDTF">2019-07-05T07:06:00Z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2013-08-19T00:00:00Z</vt:filetime>
  </property>
  <property fmtid="{D5CDD505-2E9C-101B-9397-08002B2CF9AE}" pid="3" name="Creator">
    <vt:lpwstr>Microsoft® Word 2010</vt:lpwstr>
  </property>
  <property fmtid="{D5CDD505-2E9C-101B-9397-08002B2CF9AE}" pid="4" name="LastSaved">
    <vt:filetime>2019-03-11T00:00:00Z</vt:filetime>
  </property>
  <property fmtid="{D5CDD505-2E9C-101B-9397-08002B2CF9AE}" pid="5" name="ContentTypeId">
    <vt:lpwstr>0x010100678712F0955A854F82681A37A589CAC8</vt:lpwstr>
  </property>
</Properties>
</file>